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09E8DC" w14:textId="77777777" w:rsidR="00C517AB" w:rsidRPr="00C517AB" w:rsidRDefault="00C517AB" w:rsidP="00C517AB">
      <w:pPr>
        <w:rPr>
          <w:b/>
          <w:bCs/>
        </w:rPr>
      </w:pPr>
      <w:r w:rsidRPr="00C517AB">
        <w:rPr>
          <w:b/>
          <w:bCs/>
        </w:rPr>
        <w:t>Articolo 38 bis</w:t>
      </w:r>
    </w:p>
    <w:p w14:paraId="59370C7F" w14:textId="77777777" w:rsidR="00C517AB" w:rsidRPr="00C517AB" w:rsidRDefault="00C517AB" w:rsidP="00C517AB">
      <w:hyperlink r:id="rId4" w:tooltip="Scarica pdf del testo selezionato" w:history="1">
        <w:r w:rsidRPr="00C517AB">
          <w:rPr>
            <w:rStyle w:val="Collegamentoipertestuale"/>
          </w:rPr>
          <w:t>Salva testo</w:t>
        </w:r>
      </w:hyperlink>
    </w:p>
    <w:p w14:paraId="2FE75667" w14:textId="77777777" w:rsidR="00C517AB" w:rsidRPr="00C517AB" w:rsidRDefault="00C517AB" w:rsidP="00C517AB">
      <w:r w:rsidRPr="00C517AB">
        <w:rPr>
          <w:b/>
          <w:bCs/>
        </w:rPr>
        <w:t>Articolo 38 bis Aiuti agli investimenti per misure di efficienza energetica relative agli edifici</w:t>
      </w:r>
    </w:p>
    <w:p w14:paraId="58EA8755" w14:textId="77777777" w:rsidR="00C517AB" w:rsidRPr="00C517AB" w:rsidRDefault="00C517AB" w:rsidP="00C517AB">
      <w:r w:rsidRPr="00C517AB">
        <w:rPr>
          <w:i/>
          <w:iCs/>
        </w:rPr>
        <w:t>In vigore dal 01/07/2023</w:t>
      </w:r>
    </w:p>
    <w:p w14:paraId="3856A085" w14:textId="77777777" w:rsidR="00C517AB" w:rsidRPr="00C517AB" w:rsidRDefault="00C517AB" w:rsidP="00C517AB">
      <w:r w:rsidRPr="00C517AB">
        <w:rPr>
          <w:i/>
          <w:iCs/>
        </w:rPr>
        <w:t>Modificato da: Regolamento Unione Europea del 23/06/2023 n. 1315 Articolo 1</w:t>
      </w:r>
    </w:p>
    <w:p w14:paraId="6E58E395" w14:textId="77777777" w:rsidR="00C517AB" w:rsidRPr="00C517AB" w:rsidRDefault="00C517AB" w:rsidP="00C517AB">
      <w:r w:rsidRPr="00C517AB">
        <w:t>1. Gli aiuti agli investimenti che consentono alle imprese di ottenere una maggiore efficienza energetica sono compatibili con il mercato interno ai sensi dell'articolo 107, paragrafo 3, del trattato e sono esentati dall'obbligo di notifica di cui all'articolo 108, paragrafo 3, del trattato purché soddisfino le condizioni di cui al presente articolo e al capo I.</w:t>
      </w:r>
    </w:p>
    <w:p w14:paraId="631FC017" w14:textId="77777777" w:rsidR="00C517AB" w:rsidRPr="00C517AB" w:rsidRDefault="00C517AB" w:rsidP="00C517AB">
      <w:r w:rsidRPr="00C517AB">
        <w:t>2. A norma del presente articolo non sono concessi aiuti per investimenti attuati per conformarsi a norme dell'Unione che sono già state adottate e sono in vigore.</w:t>
      </w:r>
    </w:p>
    <w:p w14:paraId="54192106" w14:textId="77777777" w:rsidR="00C517AB" w:rsidRPr="00C517AB" w:rsidRDefault="00C517AB" w:rsidP="00C517AB">
      <w:r w:rsidRPr="00C517AB">
        <w:t>3. A norma del presente articolo possono essere concessi aiuti per investimenti attuati per conformarsi a norme dell'Unione che sono già state adottate ma che non sono ancora entrate in vigore. Se le pertinenti norme dell'Unione sono norme minime di prestazione energetica, gli aiuti devono essere concessi prima che le norme diventino obbligatorie per l'impresa interessata. In tal caso, lo Stato membro deve garantire che i beneficiari forniscano un piano e un calendario di ristrutturazione dettagliati che dimostrino che la ristrutturazione sovvenzionata sia almeno sufficiente a garantire la conformità con le norme minime di prestazione energetica. Se le pertinenti norme dell'Unione sono diverse dalle norme minime di prestazione energetica, l'investimento deve essere attuato e completato almeno 18 mesi prima dell'entrata in vigore delle norme dell'Unione.</w:t>
      </w:r>
    </w:p>
    <w:p w14:paraId="6314C7E2" w14:textId="77777777" w:rsidR="00C517AB" w:rsidRPr="00C517AB" w:rsidRDefault="00C517AB" w:rsidP="00C517AB">
      <w:r w:rsidRPr="00C517AB">
        <w:t xml:space="preserve">4. Il presente articolo non si applica agli aiuti alla cogenerazione né agli aiuti al teleriscaldamento e/o </w:t>
      </w:r>
      <w:proofErr w:type="spellStart"/>
      <w:r w:rsidRPr="00C517AB">
        <w:t>teleraffreddamento</w:t>
      </w:r>
      <w:proofErr w:type="spellEnd"/>
      <w:r w:rsidRPr="00C517AB">
        <w:t>.</w:t>
      </w:r>
    </w:p>
    <w:p w14:paraId="2F4507BD" w14:textId="77777777" w:rsidR="00C517AB" w:rsidRPr="00C517AB" w:rsidRDefault="00C517AB" w:rsidP="00C517AB">
      <w:r w:rsidRPr="00C517AB">
        <w:t>5. I costi ammissibili sono i costi complessivi dell'investimento. Non sono ammissibili i costi non direttamente connessi al conseguimento di un livello più elevato di efficienza energetica dell'edificio.</w:t>
      </w:r>
    </w:p>
    <w:p w14:paraId="0646A0F3" w14:textId="77777777" w:rsidR="00C517AB" w:rsidRPr="00C517AB" w:rsidRDefault="00C517AB" w:rsidP="00C517AB">
      <w:r w:rsidRPr="00C517AB">
        <w:t>6. Gli aiuti rendono possibile un miglioramento della prestazione energetica dell'edificio misurata in energia primaria di almeno: i) il 20 % rispetto alla situazione precedente all'investimento in caso di ristrutturazione di edifici esistenti; ii) il 10 % rispetto alla situazione precedente all'investimento nel caso di misure di ristrutturazione riguardanti l'installazione o la sostituzione di un solo tipo di elementi edilizi quali definiti all'</w:t>
      </w:r>
      <w:hyperlink r:id="rId5" w:history="1">
        <w:r w:rsidRPr="00C517AB">
          <w:rPr>
            <w:rStyle w:val="Collegamentoipertestuale"/>
          </w:rPr>
          <w:t>articolo 2, paragrafo 9, della direttiva 2010/31/UE</w:t>
        </w:r>
      </w:hyperlink>
      <w:r w:rsidRPr="00C517AB">
        <w:t>, se tali misure di ristrutturazione mirate non rappresentano più del 30 % della parte del bilancio del regime destinata alle misure di efficienza energetica; iii) il 10 % rispetto alla soglia fissata per i requisiti relativi agli edifici a energia quasi zero nelle misure nazionali di trasposizione della </w:t>
      </w:r>
      <w:hyperlink r:id="rId6" w:history="1">
        <w:r w:rsidRPr="00C517AB">
          <w:rPr>
            <w:rStyle w:val="Collegamentoipertestuale"/>
          </w:rPr>
          <w:t>direttiva 2010/31/UE</w:t>
        </w:r>
      </w:hyperlink>
      <w:r w:rsidRPr="00C517AB">
        <w:t> nel caso di edifici nuovi. La domanda energetica primaria iniziale e il miglioramento previsto sono stabiliti facendo riferimento a un attestato di prestazione energetica, quale definito all'</w:t>
      </w:r>
      <w:hyperlink r:id="rId7" w:history="1">
        <w:r w:rsidRPr="00C517AB">
          <w:rPr>
            <w:rStyle w:val="Collegamentoipertestuale"/>
          </w:rPr>
          <w:t>articolo 2, paragrafo 12, della direttiva 2010/31/UE</w:t>
        </w:r>
      </w:hyperlink>
      <w:r w:rsidRPr="00C517AB">
        <w:t>.</w:t>
      </w:r>
    </w:p>
    <w:p w14:paraId="5E994219" w14:textId="77777777" w:rsidR="00C517AB" w:rsidRPr="00C517AB" w:rsidRDefault="00C517AB" w:rsidP="00C517AB">
      <w:r w:rsidRPr="00C517AB">
        <w:t>7. Gli aiuti concessi per migliorare l'efficienza energetica dell'edificio possono essere combinati con gli aiuti destinati ad una o più delle seguenti misure:</w:t>
      </w:r>
    </w:p>
    <w:p w14:paraId="38899F49" w14:textId="77777777" w:rsidR="00C517AB" w:rsidRPr="00C517AB" w:rsidRDefault="00C517AB" w:rsidP="00C517AB">
      <w:r w:rsidRPr="00C517AB">
        <w:t>a) l'installazione di impianti integrati in loco per la produzione di energia elettrica, riscaldamento o raffreddamento da fonti energetiche rinnovabili tra cui, ad esempio, i pannelli fotovoltaici e le pompe di calore;</w:t>
      </w:r>
    </w:p>
    <w:p w14:paraId="12B08412" w14:textId="77777777" w:rsidR="00C517AB" w:rsidRPr="00C517AB" w:rsidRDefault="00C517AB" w:rsidP="00C517AB">
      <w:r w:rsidRPr="00C517AB">
        <w:lastRenderedPageBreak/>
        <w:t>b) l'installazione di apparecchiature per lo stoccaggio dell'energia prodotta dagli impianti di energia rinnovabile in loco. L'apparecchiatura per lo stoccaggio assorbe almeno il 75 % dell'energia da un impianto di produzione di energia rinnovabile collegato direttamente, su base annua;</w:t>
      </w:r>
    </w:p>
    <w:p w14:paraId="18C76422" w14:textId="77777777" w:rsidR="00C517AB" w:rsidRPr="00C517AB" w:rsidRDefault="00C517AB" w:rsidP="00C517AB">
      <w:r w:rsidRPr="00C517AB">
        <w:t xml:space="preserve">c) il collegamento a sistemi di teleriscaldamento e di </w:t>
      </w:r>
      <w:proofErr w:type="spellStart"/>
      <w:r w:rsidRPr="00C517AB">
        <w:t>teleraffreddamento</w:t>
      </w:r>
      <w:proofErr w:type="spellEnd"/>
      <w:r w:rsidRPr="00C517AB">
        <w:t xml:space="preserve"> efficienti sotto il profilo energetico e alle relative apparecchiature;</w:t>
      </w:r>
    </w:p>
    <w:p w14:paraId="34592BAB" w14:textId="77777777" w:rsidR="00C517AB" w:rsidRPr="00C517AB" w:rsidRDefault="00C517AB" w:rsidP="00C517AB">
      <w:r w:rsidRPr="00C517AB">
        <w:t>d) la costruzione e l'installazione di un'infrastruttura di ricarica ad uso degli utenti dell'edificio e delle relative infrastrutture, come le condotte, se il parcheggio è situato all'interno dell'edificio o è fisicamente adiacente all'edificio;</w:t>
      </w:r>
    </w:p>
    <w:p w14:paraId="5BED0541" w14:textId="77777777" w:rsidR="00C517AB" w:rsidRPr="00C517AB" w:rsidRDefault="00C517AB" w:rsidP="00C517AB">
      <w:r w:rsidRPr="00C517AB">
        <w:t>e) l'installazione di apparecchiature per la digitalizzazione dell'edificio, in particolare per aumentarne la predisposizione all'intelligenza, compreso il cablaggio passivo interno o il cablaggio strutturato per le reti di dati e la parte accessoria dell'infrastruttura a banda larga sulla proprietà cui appartiene l'edificio, escluso il cablaggio per le reti di dati al di fuori della proprietà;</w:t>
      </w:r>
    </w:p>
    <w:p w14:paraId="2EEF690E" w14:textId="77777777" w:rsidR="00C517AB" w:rsidRPr="00C517AB" w:rsidRDefault="00C517AB" w:rsidP="00C517AB">
      <w:r w:rsidRPr="00C517AB">
        <w:t>f) gli investimenti in tetti e attrezzature verdi per la ritenzione e l'uso dell'acqua piovana.</w:t>
      </w:r>
    </w:p>
    <w:p w14:paraId="319DFAC7" w14:textId="77777777" w:rsidR="00C517AB" w:rsidRPr="00C517AB" w:rsidRDefault="00C517AB" w:rsidP="00C517AB">
      <w:r w:rsidRPr="00C517AB">
        <w:t>Nel caso di eventuali combinazioni degli interventi di cui alle lettere da a) a f), i costi ammissibili sono costituiti dall'intero costo degli investimenti nelle varie attrezzature e apparecchiature. I costi non direttamente connessi al conseguimento di un livello più elevato di prestazioni energetiche o ambientali non sono ammissibili.</w:t>
      </w:r>
    </w:p>
    <w:p w14:paraId="14AA8315" w14:textId="77777777" w:rsidR="00C517AB" w:rsidRPr="00C517AB" w:rsidRDefault="00C517AB" w:rsidP="00C517AB">
      <w:r w:rsidRPr="00C517AB">
        <w:t>8. Gli aiuti possono essere concessi ai proprietari o ai locatari dell'edificio, a seconda di chi commissiona la misura di efficienza energetica.</w:t>
      </w:r>
    </w:p>
    <w:p w14:paraId="6C73677C" w14:textId="77777777" w:rsidR="00C517AB" w:rsidRPr="00C517AB" w:rsidRDefault="00C517AB" w:rsidP="00C517AB">
      <w:r w:rsidRPr="00C517AB">
        <w:t>9. Possono essere concessi aiuti anche per il miglioramento dell'efficienza energetica degli impianti di riscaldamento e/o raffreddamento all'interno dell'edificio.</w:t>
      </w:r>
    </w:p>
    <w:p w14:paraId="2255FC5B" w14:textId="77777777" w:rsidR="00C517AB" w:rsidRPr="00C517AB" w:rsidRDefault="00C517AB" w:rsidP="00C517AB">
      <w:r w:rsidRPr="00C517AB">
        <w:t>10. Gli aiuti per l'installazione di apparecchiature energetiche alimentate a combustibili fossili, compreso il gas naturale, non sono esentati, a norma del presente articolo, dall'obbligo di notifica di cui all'articolo 108, paragrafo 3, del trattato.</w:t>
      </w:r>
    </w:p>
    <w:p w14:paraId="57BEEFB8" w14:textId="77777777" w:rsidR="00C517AB" w:rsidRPr="00C517AB" w:rsidRDefault="00C517AB" w:rsidP="00C517AB">
      <w:r w:rsidRPr="00C517AB">
        <w:t>11. L'intensità di aiuto non supera il 30 % dei costi ammissibili.</w:t>
      </w:r>
    </w:p>
    <w:p w14:paraId="52FF5CAE" w14:textId="77777777" w:rsidR="00C517AB" w:rsidRPr="00C517AB" w:rsidRDefault="00C517AB" w:rsidP="00C517AB">
      <w:r w:rsidRPr="00C517AB">
        <w:t>12. In deroga al paragrafo 11, se l'investimento consiste nell'installazione o nella sostituzione di un solo tipo di elemento edilizio quale definito all'</w:t>
      </w:r>
      <w:hyperlink r:id="rId8" w:history="1">
        <w:r w:rsidRPr="00C517AB">
          <w:rPr>
            <w:rStyle w:val="Collegamentoipertestuale"/>
          </w:rPr>
          <w:t>articolo 2, paragrafo 9, della direttiva 2010/31/UE</w:t>
        </w:r>
      </w:hyperlink>
      <w:r w:rsidRPr="00C517AB">
        <w:t>, l'intensità di aiuto non supera il 25 %.</w:t>
      </w:r>
    </w:p>
    <w:p w14:paraId="29935C33" w14:textId="77777777" w:rsidR="00C517AB" w:rsidRPr="00C517AB" w:rsidRDefault="00C517AB" w:rsidP="00C517AB">
      <w:r w:rsidRPr="00C517AB">
        <w:t>13. In deroga ai paragrafi 11 e 12, se gli aiuti agli investimenti in edifici attuati per conformarsi a norme minime di prestazione energetica che costituiscono norme dell'Unione sono concessi meno di 18 mesi prima dell'entrata in vigore di tali norme, l'intensità di aiuto non può superare il 15 % dei costi ammissibili se l'investimento consiste nell'installazione o nella sostituzione di un solo tipo di elemento edilizio quale definito all'</w:t>
      </w:r>
      <w:hyperlink r:id="rId9" w:history="1">
        <w:r w:rsidRPr="00C517AB">
          <w:rPr>
            <w:rStyle w:val="Collegamentoipertestuale"/>
          </w:rPr>
          <w:t>articolo 2, paragrafo 9, della direttiva 2010/31/UE</w:t>
        </w:r>
      </w:hyperlink>
      <w:r w:rsidRPr="00C517AB">
        <w:t> e il 20 % in tutti gli altri casi.</w:t>
      </w:r>
    </w:p>
    <w:p w14:paraId="1544D3F7" w14:textId="77777777" w:rsidR="00C517AB" w:rsidRPr="00C517AB" w:rsidRDefault="00C517AB" w:rsidP="00C517AB">
      <w:r w:rsidRPr="00C517AB">
        <w:t>14. L'intensità di aiuto può essere aumentata di 20 punti percentuali per gli aiuti concessi alle piccole imprese e di 10 punti percentuali per gli aiuti concessi alle medie imprese.</w:t>
      </w:r>
    </w:p>
    <w:p w14:paraId="0C84707E" w14:textId="77777777" w:rsidR="00C517AB" w:rsidRPr="00C517AB" w:rsidRDefault="00C517AB" w:rsidP="00C517AB">
      <w:r w:rsidRPr="00C517AB">
        <w:t>15. L'intensità di aiuto può essere aumentata di 15 punti percentuali per investimenti effettuati in zone assistite che soddisfano le condizioni di cui all'articolo 107, paragrafo 3, lettera a), del trattato e di 5 punti percentuali per investimenti effettuati in zone assistite che soddisfano le condizioni dell'articolo 107, paragrafo 3, lettera c), del trattato.</w:t>
      </w:r>
    </w:p>
    <w:p w14:paraId="4FDC495F" w14:textId="77777777" w:rsidR="00C517AB" w:rsidRPr="00C517AB" w:rsidRDefault="00C517AB" w:rsidP="00C517AB">
      <w:r w:rsidRPr="00C517AB">
        <w:lastRenderedPageBreak/>
        <w:t>16. L'intensità di aiuto può essere aumentata di 15 punti percentuali per gli aiuti concessi per migliorare l'efficienza energetica degli edifici esistenti, laddove tali aiuti determinino un miglioramento della prestazione energetica dell'edificio misurata in energia primaria di almeno il 40 % rispetto alla situazione precedente all'investimento. Tale aumento dell'intensità di aiuto non si applica se l'investimento non migliora la prestazione energetica dell'edificio oltre il livello imposto dalle norme minime di prestazione energetica che costituiscono norme dell'Unione la cui entrata in vigore è prevista entro 18 mesi dal momento in cui l'investimento è attuato e completato.</w:t>
      </w:r>
    </w:p>
    <w:p w14:paraId="1A5148D3" w14:textId="77777777" w:rsidR="00C32FAD" w:rsidRDefault="00C32FAD"/>
    <w:sectPr w:rsidR="00C32FA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478"/>
    <w:rsid w:val="000B7ED2"/>
    <w:rsid w:val="001747CB"/>
    <w:rsid w:val="00285BD6"/>
    <w:rsid w:val="0045153D"/>
    <w:rsid w:val="005C2846"/>
    <w:rsid w:val="00637478"/>
    <w:rsid w:val="00763565"/>
    <w:rsid w:val="00A0321F"/>
    <w:rsid w:val="00A67DAD"/>
    <w:rsid w:val="00AB5368"/>
    <w:rsid w:val="00C32FAD"/>
    <w:rsid w:val="00C517AB"/>
    <w:rsid w:val="00CC2EDC"/>
    <w:rsid w:val="00F021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6FD3F8-0277-4B27-80D6-A48F5DBF3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374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374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3747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3747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3747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63747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3747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3747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3747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3747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3747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3747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3747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3747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3747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3747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3747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37478"/>
    <w:rPr>
      <w:rFonts w:eastAsiaTheme="majorEastAsia" w:cstheme="majorBidi"/>
      <w:color w:val="272727" w:themeColor="text1" w:themeTint="D8"/>
    </w:rPr>
  </w:style>
  <w:style w:type="paragraph" w:styleId="Titolo">
    <w:name w:val="Title"/>
    <w:basedOn w:val="Normale"/>
    <w:next w:val="Normale"/>
    <w:link w:val="TitoloCarattere"/>
    <w:uiPriority w:val="10"/>
    <w:qFormat/>
    <w:rsid w:val="006374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3747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3747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3747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3747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37478"/>
    <w:rPr>
      <w:i/>
      <w:iCs/>
      <w:color w:val="404040" w:themeColor="text1" w:themeTint="BF"/>
    </w:rPr>
  </w:style>
  <w:style w:type="paragraph" w:styleId="Paragrafoelenco">
    <w:name w:val="List Paragraph"/>
    <w:basedOn w:val="Normale"/>
    <w:uiPriority w:val="34"/>
    <w:qFormat/>
    <w:rsid w:val="00637478"/>
    <w:pPr>
      <w:ind w:left="720"/>
      <w:contextualSpacing/>
    </w:pPr>
  </w:style>
  <w:style w:type="character" w:styleId="Enfasiintensa">
    <w:name w:val="Intense Emphasis"/>
    <w:basedOn w:val="Carpredefinitoparagrafo"/>
    <w:uiPriority w:val="21"/>
    <w:qFormat/>
    <w:rsid w:val="00637478"/>
    <w:rPr>
      <w:i/>
      <w:iCs/>
      <w:color w:val="0F4761" w:themeColor="accent1" w:themeShade="BF"/>
    </w:rPr>
  </w:style>
  <w:style w:type="paragraph" w:styleId="Citazioneintensa">
    <w:name w:val="Intense Quote"/>
    <w:basedOn w:val="Normale"/>
    <w:next w:val="Normale"/>
    <w:link w:val="CitazioneintensaCarattere"/>
    <w:uiPriority w:val="30"/>
    <w:qFormat/>
    <w:rsid w:val="006374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37478"/>
    <w:rPr>
      <w:i/>
      <w:iCs/>
      <w:color w:val="0F4761" w:themeColor="accent1" w:themeShade="BF"/>
    </w:rPr>
  </w:style>
  <w:style w:type="character" w:styleId="Riferimentointenso">
    <w:name w:val="Intense Reference"/>
    <w:basedOn w:val="Carpredefinitoparagrafo"/>
    <w:uiPriority w:val="32"/>
    <w:qFormat/>
    <w:rsid w:val="00637478"/>
    <w:rPr>
      <w:b/>
      <w:bCs/>
      <w:smallCaps/>
      <w:color w:val="0F4761" w:themeColor="accent1" w:themeShade="BF"/>
      <w:spacing w:val="5"/>
    </w:rPr>
  </w:style>
  <w:style w:type="character" w:styleId="Collegamentoipertestuale">
    <w:name w:val="Hyperlink"/>
    <w:basedOn w:val="Carpredefinitoparagrafo"/>
    <w:uiPriority w:val="99"/>
    <w:unhideWhenUsed/>
    <w:rsid w:val="00C517AB"/>
    <w:rPr>
      <w:color w:val="467886" w:themeColor="hyperlink"/>
      <w:u w:val="single"/>
    </w:rPr>
  </w:style>
  <w:style w:type="character" w:styleId="Menzionenonrisolta">
    <w:name w:val="Unresolved Mention"/>
    <w:basedOn w:val="Carpredefinitoparagrafo"/>
    <w:uiPriority w:val="99"/>
    <w:semiHidden/>
    <w:unhideWhenUsed/>
    <w:rsid w:val="00C517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f.finanze.it/DocTribFrontend/decodeurn?urn=urn:doctrib::DIU:2010;31_art2" TargetMode="External"/><Relationship Id="rId3" Type="http://schemas.openxmlformats.org/officeDocument/2006/relationships/webSettings" Target="webSettings.xml"/><Relationship Id="rId7" Type="http://schemas.openxmlformats.org/officeDocument/2006/relationships/hyperlink" Target="https://def.finanze.it/DocTribFrontend/decodeurn?urn=urn:doctrib::DIU:2010;31_art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ef.finanze.it/DocTribFrontend/decodeurn?urn=urn:doctrib::DIU:2010;31" TargetMode="External"/><Relationship Id="rId11" Type="http://schemas.openxmlformats.org/officeDocument/2006/relationships/theme" Target="theme/theme1.xml"/><Relationship Id="rId5" Type="http://schemas.openxmlformats.org/officeDocument/2006/relationships/hyperlink" Target="https://def.finanze.it/DocTribFrontend/decodeurn?urn=urn:doctrib::DIU:2010;31_art2" TargetMode="External"/><Relationship Id="rId10" Type="http://schemas.openxmlformats.org/officeDocument/2006/relationships/fontTable" Target="fontTable.xml"/><Relationship Id="rId4" Type="http://schemas.openxmlformats.org/officeDocument/2006/relationships/hyperlink" Target="https://def.finanze.it/DocTribFrontend/executePrintArticolo.do?id=%7b8A7E6428-8584-425B-8656-AC9A71A7204D%7d&amp;codiceOrdinamento=0000000000000389999900002000000000000000000000000000000000000000000000000000000000000000000000000000000000000000000000000000000000&amp;articolo=Articolo%2038%20bis" TargetMode="External"/><Relationship Id="rId9" Type="http://schemas.openxmlformats.org/officeDocument/2006/relationships/hyperlink" Target="https://def.finanze.it/DocTribFrontend/decodeurn?urn=urn:doctrib::DIU:2010;31_art2"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1252</Words>
  <Characters>7143</Characters>
  <Application>Microsoft Office Word</Application>
  <DocSecurity>0</DocSecurity>
  <Lines>59</Lines>
  <Paragraphs>16</Paragraphs>
  <ScaleCrop>false</ScaleCrop>
  <Company/>
  <LinksUpToDate>false</LinksUpToDate>
  <CharactersWithSpaces>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Ricci</dc:creator>
  <cp:keywords/>
  <dc:description/>
  <cp:lastModifiedBy>Daniele  Ricci</cp:lastModifiedBy>
  <cp:revision>2</cp:revision>
  <dcterms:created xsi:type="dcterms:W3CDTF">2026-03-24T15:13:00Z</dcterms:created>
  <dcterms:modified xsi:type="dcterms:W3CDTF">2026-03-24T15:13:00Z</dcterms:modified>
</cp:coreProperties>
</file>