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BC5" w:rsidRDefault="00190BC5" w:rsidP="00530E75">
      <w:pPr>
        <w:pStyle w:val="chiaranote"/>
      </w:pPr>
      <w:r>
        <w:t xml:space="preserve">NOTA DI </w:t>
      </w:r>
      <w:r w:rsidR="00F36A37">
        <w:t xml:space="preserve">APPROFONDIMENTO  </w:t>
      </w:r>
    </w:p>
    <w:p w:rsidR="00F81178" w:rsidRDefault="00F36A37" w:rsidP="00530E75">
      <w:pPr>
        <w:pStyle w:val="chiaranote"/>
      </w:pPr>
      <w:r>
        <w:t>ARERA</w:t>
      </w:r>
      <w:r w:rsidR="000433FA">
        <w:t xml:space="preserve"> </w:t>
      </w:r>
      <w:r w:rsidR="00122803">
        <w:t>–</w:t>
      </w:r>
      <w:r w:rsidR="000433FA">
        <w:t xml:space="preserve"> CI</w:t>
      </w:r>
      <w:r w:rsidR="00122803">
        <w:t>CLO RIFIUTI URBANI E ASSIMILATI</w:t>
      </w:r>
      <w:r w:rsidR="00F81178">
        <w:t xml:space="preserve"> </w:t>
      </w:r>
      <w:r w:rsidR="00857974">
        <w:t>–</w:t>
      </w:r>
      <w:r w:rsidR="00F81178">
        <w:t xml:space="preserve"> </w:t>
      </w:r>
      <w:r w:rsidR="00857974">
        <w:t>contributo di funzionamento Autorità</w:t>
      </w:r>
    </w:p>
    <w:p w:rsidR="00530E75" w:rsidRPr="005C06E0" w:rsidRDefault="00530E75" w:rsidP="00530E75">
      <w:pPr>
        <w:jc w:val="both"/>
        <w:rPr>
          <w:i/>
        </w:rPr>
      </w:pPr>
      <w:r w:rsidRPr="005C06E0">
        <w:rPr>
          <w:i/>
        </w:rPr>
        <w:t>Da allegato A alla det</w:t>
      </w:r>
      <w:r w:rsidR="00975E3A">
        <w:rPr>
          <w:i/>
        </w:rPr>
        <w:t>er</w:t>
      </w:r>
      <w:r w:rsidR="00CF39DE">
        <w:rPr>
          <w:i/>
        </w:rPr>
        <w:t>minazione</w:t>
      </w:r>
      <w:r w:rsidR="000F7A7B">
        <w:rPr>
          <w:i/>
        </w:rPr>
        <w:t xml:space="preserve"> ARERA </w:t>
      </w:r>
      <w:r w:rsidRPr="005C06E0">
        <w:rPr>
          <w:i/>
        </w:rPr>
        <w:t xml:space="preserve"> 173/</w:t>
      </w:r>
      <w:r w:rsidR="0059394B">
        <w:rPr>
          <w:i/>
        </w:rPr>
        <w:t>DAGR</w:t>
      </w:r>
      <w:r w:rsidR="00134BEF">
        <w:rPr>
          <w:i/>
        </w:rPr>
        <w:t>/</w:t>
      </w:r>
      <w:r w:rsidRPr="005C06E0">
        <w:rPr>
          <w:i/>
        </w:rPr>
        <w:t>2019</w:t>
      </w:r>
      <w:r>
        <w:rPr>
          <w:i/>
        </w:rPr>
        <w:t>:</w:t>
      </w:r>
    </w:p>
    <w:p w:rsidR="00530E75" w:rsidRPr="000611CF" w:rsidRDefault="00530E75" w:rsidP="00530E75">
      <w:pPr>
        <w:jc w:val="both"/>
        <w:rPr>
          <w:i/>
        </w:rPr>
      </w:pPr>
      <w:r w:rsidRPr="000611CF">
        <w:rPr>
          <w:i/>
        </w:rPr>
        <w:t xml:space="preserve">Le attività del servizio integrato di gestione dei rifiuti anche differenziati, urbani e assimilati </w:t>
      </w:r>
      <w:r w:rsidRPr="000611CF">
        <w:rPr>
          <w:i/>
          <w:u w:val="single"/>
        </w:rPr>
        <w:t>(indipendentemente dalla classificazione che assumono durante il loro percorso),</w:t>
      </w:r>
      <w:r w:rsidRPr="000611CF">
        <w:rPr>
          <w:i/>
        </w:rPr>
        <w:t xml:space="preserve"> nelle more dell’introduzione della normativa </w:t>
      </w:r>
      <w:proofErr w:type="spellStart"/>
      <w:r w:rsidRPr="000611CF">
        <w:rPr>
          <w:i/>
        </w:rPr>
        <w:t>unbundling</w:t>
      </w:r>
      <w:proofErr w:type="spellEnd"/>
      <w:r w:rsidRPr="000611CF">
        <w:rPr>
          <w:i/>
        </w:rPr>
        <w:t>, sono la spedizione transfrontaliera dei rifiuti urbani e quelle di cui all’articolo 1 della deliberazione 443/2019/R/RIF di seguito riportate:</w:t>
      </w:r>
    </w:p>
    <w:p w:rsidR="00530E75" w:rsidRPr="000611CF" w:rsidRDefault="00530E75" w:rsidP="00530E75">
      <w:pPr>
        <w:jc w:val="both"/>
        <w:rPr>
          <w:b/>
          <w:i/>
        </w:rPr>
      </w:pPr>
      <w:r w:rsidRPr="000611CF">
        <w:rPr>
          <w:rFonts w:ascii="Segoe UI Symbol" w:hAnsi="Segoe UI Symbol" w:cs="Segoe UI Symbol"/>
          <w:b/>
          <w:i/>
        </w:rPr>
        <w:t>➢</w:t>
      </w:r>
      <w:r w:rsidRPr="000611CF">
        <w:rPr>
          <w:b/>
          <w:i/>
        </w:rPr>
        <w:t xml:space="preserve"> </w:t>
      </w:r>
      <w:r w:rsidRPr="000611CF">
        <w:rPr>
          <w:i/>
          <w:u w:val="single"/>
        </w:rPr>
        <w:t>settore rifiuti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spacing w:after="0"/>
        <w:jc w:val="both"/>
        <w:rPr>
          <w:i/>
        </w:rPr>
      </w:pPr>
      <w:r w:rsidRPr="000611CF">
        <w:rPr>
          <w:i/>
        </w:rPr>
        <w:t>spazzamento e lavaggio delle strade;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spacing w:after="0"/>
        <w:jc w:val="both"/>
        <w:rPr>
          <w:i/>
        </w:rPr>
      </w:pPr>
      <w:r w:rsidRPr="000611CF">
        <w:rPr>
          <w:i/>
        </w:rPr>
        <w:t>raccolta e trasporto dei rifiuti urbani;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spacing w:after="0"/>
        <w:jc w:val="both"/>
        <w:rPr>
          <w:i/>
        </w:rPr>
      </w:pPr>
      <w:r w:rsidRPr="000611CF">
        <w:rPr>
          <w:i/>
        </w:rPr>
        <w:t>gestione tariffe e rapporti con gli utenti;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spacing w:after="0"/>
        <w:jc w:val="both"/>
        <w:rPr>
          <w:i/>
        </w:rPr>
      </w:pPr>
      <w:r w:rsidRPr="000611CF">
        <w:rPr>
          <w:i/>
        </w:rPr>
        <w:t>trattamento e recupero dei rifiuti urbani;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spacing w:after="0"/>
        <w:jc w:val="both"/>
        <w:rPr>
          <w:i/>
        </w:rPr>
      </w:pPr>
      <w:r w:rsidRPr="000611CF">
        <w:rPr>
          <w:i/>
        </w:rPr>
        <w:t>trattamento e smaltimento dei rifiuti urbani;</w:t>
      </w:r>
      <w:r w:rsidRPr="000611CF">
        <w:rPr>
          <w:i/>
        </w:rPr>
        <w:cr/>
      </w:r>
    </w:p>
    <w:p w:rsidR="00530E75" w:rsidRPr="000611CF" w:rsidRDefault="00530E75" w:rsidP="00530E75">
      <w:pPr>
        <w:jc w:val="both"/>
        <w:rPr>
          <w:i/>
        </w:rPr>
      </w:pPr>
      <w:r w:rsidRPr="000611CF">
        <w:rPr>
          <w:i/>
        </w:rPr>
        <w:t xml:space="preserve">Come riportato nel Manuale dell’Anagrafica operatori nel settore dei rifiuti anche differenziati, urbani e assimilati (di seguito: rifiuti urbani), sono altresì esonerati dall’obbligo di iscrizione all’”Anagrafica operatori” e conseguentemente dal versamento del contributo i soggetti che non svolgono alcuna delle altre attività nei settori di competenza dell’Autorità e che presentano una delle seguenti caratteristiche: 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jc w:val="both"/>
        <w:rPr>
          <w:i/>
        </w:rPr>
      </w:pPr>
      <w:r w:rsidRPr="000611CF">
        <w:rPr>
          <w:i/>
        </w:rPr>
        <w:t xml:space="preserve">svolgono esclusivamente attività di lavorazione di sostanze od oggetti secondo le condizioni di cui al comma 1 dell’articolo 184-ter, del decreto legislativo n. 152/06; </w:t>
      </w:r>
    </w:p>
    <w:p w:rsidR="00530E75" w:rsidRPr="000611CF" w:rsidRDefault="00530E75" w:rsidP="00530E75">
      <w:pPr>
        <w:pStyle w:val="Paragrafoelenco"/>
        <w:numPr>
          <w:ilvl w:val="0"/>
          <w:numId w:val="1"/>
        </w:numPr>
        <w:jc w:val="both"/>
        <w:rPr>
          <w:i/>
        </w:rPr>
      </w:pPr>
      <w:r w:rsidRPr="000611CF">
        <w:rPr>
          <w:i/>
        </w:rPr>
        <w:t xml:space="preserve">svolgono esclusivamente operazioni di </w:t>
      </w:r>
      <w:proofErr w:type="spellStart"/>
      <w:r w:rsidRPr="000611CF">
        <w:rPr>
          <w:i/>
        </w:rPr>
        <w:t>autocompostaggio</w:t>
      </w:r>
      <w:proofErr w:type="spellEnd"/>
      <w:r w:rsidRPr="000611CF">
        <w:rPr>
          <w:i/>
        </w:rPr>
        <w:t xml:space="preserve">, compostaggio di comunità e compostaggio locale, ai sensi della normativa vigente. </w:t>
      </w:r>
    </w:p>
    <w:p w:rsidR="00530E75" w:rsidRPr="004240BF" w:rsidRDefault="00530E75" w:rsidP="00530E75">
      <w:pPr>
        <w:jc w:val="both"/>
      </w:pPr>
      <w:r w:rsidRPr="004240BF">
        <w:t xml:space="preserve">Due punti critici fondamentali devono essere chiariti per procedere </w:t>
      </w:r>
      <w:r>
        <w:t>alla corretta applicazione dei provvedimenti dell’Autorità</w:t>
      </w:r>
      <w:r w:rsidRPr="004240BF">
        <w:t>:</w:t>
      </w:r>
    </w:p>
    <w:p w:rsidR="00530E75" w:rsidRPr="004240BF" w:rsidRDefault="00530E75" w:rsidP="00530E75">
      <w:pPr>
        <w:pStyle w:val="Paragrafoelenco"/>
        <w:numPr>
          <w:ilvl w:val="0"/>
          <w:numId w:val="2"/>
        </w:numPr>
        <w:ind w:left="709" w:hanging="349"/>
        <w:jc w:val="both"/>
      </w:pPr>
      <w:r w:rsidRPr="004240BF">
        <w:t>campo di applicazione</w:t>
      </w:r>
    </w:p>
    <w:p w:rsidR="00530E75" w:rsidRDefault="00530E75" w:rsidP="00530E75">
      <w:pPr>
        <w:pStyle w:val="Paragrafoelenco"/>
        <w:numPr>
          <w:ilvl w:val="0"/>
          <w:numId w:val="2"/>
        </w:numPr>
        <w:ind w:left="709" w:hanging="349"/>
        <w:jc w:val="both"/>
      </w:pPr>
      <w:r w:rsidRPr="004240BF">
        <w:t>ricavi sui quali applicare il contribu</w:t>
      </w:r>
      <w:r>
        <w:t>to</w:t>
      </w:r>
    </w:p>
    <w:p w:rsidR="00530E75" w:rsidRPr="00753CE3" w:rsidRDefault="00530E75" w:rsidP="00530E75">
      <w:pPr>
        <w:pStyle w:val="chiaranote"/>
      </w:pPr>
      <w:bookmarkStart w:id="0" w:name="_Hlk29806250"/>
      <w:r w:rsidRPr="00753CE3">
        <w:t>1</w:t>
      </w:r>
      <w:r>
        <w:t>-</w:t>
      </w:r>
      <w:r w:rsidR="00E576C4">
        <w:t xml:space="preserve"> </w:t>
      </w:r>
      <w:r w:rsidR="00E576C4" w:rsidRPr="00E576C4">
        <w:t>C</w:t>
      </w:r>
      <w:r w:rsidRPr="00E576C4">
        <w:t>ampo di applicazione</w:t>
      </w:r>
    </w:p>
    <w:bookmarkEnd w:id="0"/>
    <w:p w:rsidR="00530E75" w:rsidRPr="00A60D0D" w:rsidRDefault="00530E75" w:rsidP="00530E75">
      <w:pPr>
        <w:jc w:val="both"/>
        <w:rPr>
          <w:b/>
          <w:bCs/>
        </w:rPr>
      </w:pPr>
      <w:r w:rsidRPr="00A60D0D">
        <w:rPr>
          <w:b/>
          <w:bCs/>
        </w:rPr>
        <w:t>I primi chiarimenti hanno permesso di stabilire che gli operatori che hanno un rapporto economico diretto con i soggetti istituzionali responsabili del servizio di gestione integrata dei rifiuti urbani sono sicuramente all’interno del campo di applicazione dei provvedimenti citati.</w:t>
      </w:r>
    </w:p>
    <w:p w:rsidR="0041384D" w:rsidRPr="00C57B52" w:rsidRDefault="0041384D" w:rsidP="00530E75">
      <w:pPr>
        <w:jc w:val="both"/>
      </w:pPr>
      <w:r w:rsidRPr="00C57B52">
        <w:t>Tale prima individuazione dei soggetti destinatari dei provvedimenti di ARERA e tenuti alla contribuzione è stata fornita senza entrare nel merito della tipologia di rapporto contrattuale con cui detti operatori siano legati ai soggetti istituzionali.</w:t>
      </w:r>
    </w:p>
    <w:p w:rsidR="0041384D" w:rsidRPr="00C57B52" w:rsidRDefault="0041384D" w:rsidP="00530E75">
      <w:pPr>
        <w:jc w:val="both"/>
      </w:pPr>
      <w:r w:rsidRPr="00C57B52">
        <w:t>In particolare</w:t>
      </w:r>
      <w:r w:rsidR="00C57B52" w:rsidRPr="00C57B52">
        <w:t>,</w:t>
      </w:r>
      <w:r w:rsidRPr="00C57B52">
        <w:t xml:space="preserve"> non è stata ancora affrontata la questione inerente l’obbligo di contribuzione non soltanto in capo ai soggetti concessionari ma anche agli appaltatori.</w:t>
      </w:r>
    </w:p>
    <w:p w:rsidR="0041384D" w:rsidRPr="00C57B52" w:rsidRDefault="0041384D" w:rsidP="00530E75">
      <w:pPr>
        <w:jc w:val="both"/>
      </w:pPr>
      <w:r w:rsidRPr="00C57B52">
        <w:t xml:space="preserve">Ciò in ragione del fatto che sul punto è tutt’ora pendente presso il TAR Lombardia un ricorso in ragione dei principi istitutivi dell’Autorità </w:t>
      </w:r>
      <w:r w:rsidR="00C57B52" w:rsidRPr="00C57B52">
        <w:t xml:space="preserve">e dell’art. 165 Codice Appalti, </w:t>
      </w:r>
      <w:r w:rsidRPr="00C57B52">
        <w:t>con cui è stata impugnata da alcuni operatori del settore la deliberazione di ARERA 31 ottobre 2019 n. 443/2019/R/, sul presupposto dell’illegittima estensione degli effett</w:t>
      </w:r>
      <w:r w:rsidR="004040C7">
        <w:t>i della stessa agli appaltatori.</w:t>
      </w:r>
    </w:p>
    <w:p w:rsidR="00530E75" w:rsidRDefault="00530E75" w:rsidP="00530E75">
      <w:pPr>
        <w:jc w:val="both"/>
      </w:pPr>
      <w:r>
        <w:lastRenderedPageBreak/>
        <w:t>Flussi che vedano coinvolti operatori successivi a quelli sicuramente ricompresi dovranno essere valutati con attenzione nello specifico per determinare quali di questi operatori rientrano nel campo di applicazione. Vi invitiamo a trasmetterci i casi pratici che emergessero nei vostri territori, al fine di sottoporli all’Autorità e permettere la stesura delle necessarie FAQ di chiarimento.</w:t>
      </w:r>
    </w:p>
    <w:p w:rsidR="00530E75" w:rsidRDefault="00530E75" w:rsidP="008A33F5"/>
    <w:p w:rsidR="00530E75" w:rsidRPr="00E576C4" w:rsidRDefault="00E576C4" w:rsidP="00530E75">
      <w:pPr>
        <w:pStyle w:val="Titolo2"/>
      </w:pPr>
      <w:r>
        <w:t>2- R</w:t>
      </w:r>
      <w:r w:rsidR="00530E75" w:rsidRPr="00E576C4">
        <w:t>icavi sui quali applicare il contributo</w:t>
      </w:r>
    </w:p>
    <w:p w:rsidR="00530E75" w:rsidRPr="00D12E6B" w:rsidRDefault="00530E75" w:rsidP="00530E75">
      <w:r>
        <w:rPr>
          <w:i/>
        </w:rPr>
        <w:br/>
      </w:r>
      <w:r w:rsidRPr="005C06E0">
        <w:rPr>
          <w:i/>
        </w:rPr>
        <w:t>Da allegato A alla det</w:t>
      </w:r>
      <w:r w:rsidR="008A33F5">
        <w:rPr>
          <w:i/>
        </w:rPr>
        <w:t>erminazione</w:t>
      </w:r>
      <w:r w:rsidR="000F7A7B">
        <w:rPr>
          <w:i/>
        </w:rPr>
        <w:t xml:space="preserve"> ARERA </w:t>
      </w:r>
      <w:r w:rsidRPr="005C06E0">
        <w:rPr>
          <w:i/>
        </w:rPr>
        <w:t xml:space="preserve"> 173/</w:t>
      </w:r>
      <w:r w:rsidR="00134BEF">
        <w:rPr>
          <w:i/>
        </w:rPr>
        <w:t>DAGR/</w:t>
      </w:r>
      <w:r w:rsidRPr="005C06E0">
        <w:rPr>
          <w:i/>
        </w:rPr>
        <w:t>2019</w:t>
      </w:r>
      <w:r>
        <w:rPr>
          <w:i/>
        </w:rPr>
        <w:t>:</w:t>
      </w:r>
    </w:p>
    <w:p w:rsidR="00530E75" w:rsidRPr="000611CF" w:rsidRDefault="00530E75" w:rsidP="00530E75">
      <w:pPr>
        <w:jc w:val="both"/>
        <w:rPr>
          <w:i/>
        </w:rPr>
      </w:pPr>
      <w:r w:rsidRPr="000611CF">
        <w:rPr>
          <w:i/>
        </w:rPr>
        <w:t>Per i soggetti operanti nel settore dei rifiuti rientrano tra i ricavi assoggettati quelli relativi alle attività di cui all’articolo 1 della deliberazione 443/2019/R/</w:t>
      </w:r>
      <w:proofErr w:type="spellStart"/>
      <w:r w:rsidRPr="000611CF">
        <w:rPr>
          <w:i/>
        </w:rPr>
        <w:t>rif</w:t>
      </w:r>
      <w:proofErr w:type="spellEnd"/>
      <w:r w:rsidRPr="000611CF">
        <w:rPr>
          <w:i/>
        </w:rPr>
        <w:t xml:space="preserve"> con riferimento ai rifiuti anche differenziati urbani e assimilati (indipendentemente dalla classificazione che ass</w:t>
      </w:r>
      <w:r w:rsidR="00E576C4">
        <w:rPr>
          <w:i/>
        </w:rPr>
        <w:t>umono durante il loro percorso).</w:t>
      </w:r>
      <w:r w:rsidRPr="000611CF">
        <w:rPr>
          <w:i/>
        </w:rPr>
        <w:t xml:space="preserve"> </w:t>
      </w:r>
    </w:p>
    <w:p w:rsidR="00530E75" w:rsidRPr="000611CF" w:rsidRDefault="00530E75" w:rsidP="00530E75">
      <w:pPr>
        <w:jc w:val="both"/>
        <w:rPr>
          <w:i/>
        </w:rPr>
      </w:pPr>
      <w:r w:rsidRPr="00134BEF">
        <w:rPr>
          <w:b/>
          <w:bCs/>
          <w:i/>
        </w:rPr>
        <w:t>NON RIENTRANO tra i ricavi assoggettati</w:t>
      </w:r>
      <w:r w:rsidRPr="000611CF">
        <w:rPr>
          <w:i/>
        </w:rPr>
        <w:t xml:space="preserve">: i ricavi derivanti da attività esterne al ciclo integrato dei RU come definite dall’art. 1 del MTR quali ad esempio la derattizzazione, la disinfestazione zanzare, lo spazzamento neve, la gestione verde pubblico, la cancellazione scritte vandaliche. </w:t>
      </w:r>
    </w:p>
    <w:p w:rsidR="00530E75" w:rsidRPr="00134BEF" w:rsidRDefault="00530E75" w:rsidP="00530E75">
      <w:pPr>
        <w:jc w:val="both"/>
        <w:rPr>
          <w:i/>
        </w:rPr>
      </w:pPr>
      <w:r w:rsidRPr="00134BEF">
        <w:rPr>
          <w:b/>
          <w:bCs/>
          <w:i/>
        </w:rPr>
        <w:t>Non rientrano nel calcolo dei ricavi assoggettati per tutti i settori</w:t>
      </w:r>
      <w:r w:rsidR="00134BEF">
        <w:rPr>
          <w:b/>
          <w:bCs/>
          <w:i/>
        </w:rPr>
        <w:t>:</w:t>
      </w:r>
      <w:r w:rsidRPr="00134BEF">
        <w:rPr>
          <w:i/>
        </w:rPr>
        <w:t xml:space="preserve"> </w:t>
      </w:r>
    </w:p>
    <w:p w:rsidR="00530E75" w:rsidRPr="000611CF" w:rsidRDefault="00530E75" w:rsidP="00530E75">
      <w:pPr>
        <w:pStyle w:val="Paragrafoelenco"/>
        <w:numPr>
          <w:ilvl w:val="0"/>
          <w:numId w:val="3"/>
        </w:numPr>
        <w:jc w:val="both"/>
        <w:rPr>
          <w:i/>
        </w:rPr>
      </w:pPr>
      <w:r w:rsidRPr="000611CF">
        <w:rPr>
          <w:i/>
        </w:rPr>
        <w:t xml:space="preserve">L’imposta sul valore aggiunto. I ricavi da vendita di prodotti finiti e assistenza post vendita. </w:t>
      </w:r>
    </w:p>
    <w:p w:rsidR="00530E75" w:rsidRPr="000611CF" w:rsidRDefault="00530E75" w:rsidP="00530E75">
      <w:pPr>
        <w:pStyle w:val="Paragrafoelenco"/>
        <w:numPr>
          <w:ilvl w:val="0"/>
          <w:numId w:val="3"/>
        </w:numPr>
        <w:jc w:val="both"/>
        <w:rPr>
          <w:i/>
        </w:rPr>
      </w:pPr>
      <w:r w:rsidRPr="000611CF">
        <w:rPr>
          <w:i/>
        </w:rPr>
        <w:t xml:space="preserve">Le poste rettificative dei costi quali gli incrementi delle immobilizzazioni, le variazioni dei lavori in corso e le variazioni delle rimanenze dell’esercizio. </w:t>
      </w:r>
    </w:p>
    <w:p w:rsidR="00530E75" w:rsidRPr="000611CF" w:rsidRDefault="00530E75" w:rsidP="00530E75">
      <w:pPr>
        <w:pStyle w:val="Paragrafoelenco"/>
        <w:numPr>
          <w:ilvl w:val="0"/>
          <w:numId w:val="3"/>
        </w:numPr>
        <w:jc w:val="both"/>
        <w:rPr>
          <w:i/>
        </w:rPr>
      </w:pPr>
      <w:r w:rsidRPr="000611CF">
        <w:rPr>
          <w:i/>
        </w:rPr>
        <w:t xml:space="preserve">I proventi finanziari e i dividendi. </w:t>
      </w:r>
    </w:p>
    <w:p w:rsidR="00530E75" w:rsidRPr="000611CF" w:rsidRDefault="00530E75" w:rsidP="00530E75">
      <w:pPr>
        <w:jc w:val="both"/>
        <w:rPr>
          <w:i/>
        </w:rPr>
      </w:pPr>
      <w:r w:rsidRPr="000611CF">
        <w:rPr>
          <w:i/>
        </w:rPr>
        <w:t>Rientrano, invece, nella base imponibile le sopravvenienze attive attinenti le attività di cui al precedente paragrafo 4 e non già assoggettate al contributo (sopravvenienze attive ordinarie).</w:t>
      </w:r>
    </w:p>
    <w:p w:rsidR="00530E75" w:rsidRDefault="00530E75" w:rsidP="00530E75">
      <w:pPr>
        <w:jc w:val="both"/>
      </w:pPr>
      <w:r>
        <w:t xml:space="preserve">Ogni ricavo dalla vendita di rifiuti urbani va assoggettato. </w:t>
      </w:r>
    </w:p>
    <w:p w:rsidR="00530E75" w:rsidRDefault="00530E75" w:rsidP="00530E75">
      <w:pPr>
        <w:spacing w:before="240"/>
        <w:ind w:right="312"/>
        <w:jc w:val="both"/>
      </w:pPr>
      <w:r w:rsidRPr="00417965">
        <w:rPr>
          <w:b/>
          <w:bCs/>
          <w:u w:val="single"/>
        </w:rPr>
        <w:t>Esempio:</w:t>
      </w:r>
      <w:r>
        <w:t xml:space="preserve"> considerando un impianto che riceve rifiuti urbani, li lavora insieme ad altre materie prime </w:t>
      </w:r>
      <w:r w:rsidR="00B364E3">
        <w:t xml:space="preserve">che </w:t>
      </w:r>
      <w:r>
        <w:t>non</w:t>
      </w:r>
      <w:r w:rsidR="00B364E3">
        <w:t xml:space="preserve"> sono</w:t>
      </w:r>
      <w:r>
        <w:t xml:space="preserve"> rifiuti e</w:t>
      </w:r>
      <w:r w:rsidR="00584E7A">
        <w:t xml:space="preserve"> poi</w:t>
      </w:r>
      <w:r>
        <w:t xml:space="preserve"> vende un prodotto finito, i ricavi da assoggettare a contributo ARERA sono solo quelli che riceve dall’amministrazione comunale per recuperare i rifiuti urbani. I ricavi dalla vendita del prodotto finito sono esclusi in forza di quanto previsto dalla determinazione.</w:t>
      </w:r>
    </w:p>
    <w:p w:rsidR="00530E75" w:rsidRDefault="00530E75" w:rsidP="00530E75">
      <w:pPr>
        <w:spacing w:before="240"/>
        <w:ind w:right="312"/>
        <w:jc w:val="both"/>
      </w:pPr>
    </w:p>
    <w:p w:rsidR="00530E75" w:rsidRPr="0081559B" w:rsidRDefault="00530E75" w:rsidP="00530E75">
      <w:pPr>
        <w:pStyle w:val="chiaranote"/>
        <w:rPr>
          <w:rFonts w:asciiTheme="minorHAnsi" w:hAnsiTheme="minorHAnsi" w:cstheme="minorHAnsi"/>
          <w:b/>
          <w:bCs/>
          <w:color w:val="auto"/>
        </w:rPr>
      </w:pPr>
      <w:r w:rsidRPr="0081559B">
        <w:rPr>
          <w:rFonts w:asciiTheme="minorHAnsi" w:hAnsiTheme="minorHAnsi" w:cstheme="minorHAnsi"/>
          <w:b/>
          <w:bCs/>
          <w:color w:val="auto"/>
        </w:rPr>
        <w:t>Punti critici</w:t>
      </w:r>
    </w:p>
    <w:p w:rsidR="00530E75" w:rsidRDefault="00530E75" w:rsidP="00530E75">
      <w:pPr>
        <w:jc w:val="both"/>
      </w:pPr>
      <w:r w:rsidRPr="0081559B">
        <w:t xml:space="preserve">Restano da definire le problematiche legate a al fatto che eventuali operatori successivi al primo, non necessariamente lavorano esclusivamente rifiuti urbani/assimilati e che </w:t>
      </w:r>
      <w:r w:rsidR="00A352DF" w:rsidRPr="0081559B">
        <w:t xml:space="preserve">in tali attività </w:t>
      </w:r>
      <w:r w:rsidRPr="0081559B">
        <w:t>potrebbe essere difficoltoso distinguere i flussi di materiale in ingresso derivant</w:t>
      </w:r>
      <w:r w:rsidR="00A352DF" w:rsidRPr="0081559B">
        <w:t>e</w:t>
      </w:r>
      <w:r w:rsidRPr="0081559B">
        <w:t xml:space="preserve"> da urbani da quello derivante da speciali. Pertanto, anche determinare i ricavi sui quali applicare il contributo potrebbe essere problematico.</w:t>
      </w:r>
    </w:p>
    <w:p w:rsidR="00A60D0D" w:rsidRDefault="00A60D0D" w:rsidP="00A60D0D">
      <w:pPr>
        <w:jc w:val="both"/>
      </w:pPr>
      <w:r>
        <w:t>Anche in questo caso pertanto, vi invitiamo a trasmetterci i casi pratici, al fine di sottoporli all’Autorità e permettere la stesura delle necessarie FAQ di chiarimento.</w:t>
      </w:r>
    </w:p>
    <w:p w:rsidR="00A60D0D" w:rsidRDefault="00A60D0D" w:rsidP="00530E75">
      <w:pPr>
        <w:jc w:val="both"/>
      </w:pPr>
      <w:bookmarkStart w:id="1" w:name="_GoBack"/>
      <w:bookmarkEnd w:id="1"/>
    </w:p>
    <w:p w:rsidR="00AB453A" w:rsidRDefault="00AB453A"/>
    <w:sectPr w:rsidR="00AB453A" w:rsidSect="001C682A"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229" w:rsidRDefault="00154229">
      <w:pPr>
        <w:spacing w:after="0" w:line="240" w:lineRule="auto"/>
      </w:pPr>
      <w:r>
        <w:separator/>
      </w:r>
    </w:p>
  </w:endnote>
  <w:endnote w:type="continuationSeparator" w:id="0">
    <w:p w:rsidR="00154229" w:rsidRDefault="001542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C5C" w:rsidRDefault="00E576C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229" w:rsidRDefault="00154229">
      <w:pPr>
        <w:spacing w:after="0" w:line="240" w:lineRule="auto"/>
      </w:pPr>
      <w:r>
        <w:separator/>
      </w:r>
    </w:p>
  </w:footnote>
  <w:footnote w:type="continuationSeparator" w:id="0">
    <w:p w:rsidR="00154229" w:rsidRDefault="001542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C2230F"/>
    <w:multiLevelType w:val="hybridMultilevel"/>
    <w:tmpl w:val="6E8C7E6E"/>
    <w:lvl w:ilvl="0" w:tplc="1FB49DC8">
      <w:start w:val="1"/>
      <w:numFmt w:val="decimal"/>
      <w:lvlText w:val="%1-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C971A3"/>
    <w:multiLevelType w:val="hybridMultilevel"/>
    <w:tmpl w:val="85CC73F6"/>
    <w:lvl w:ilvl="0" w:tplc="FEC43C74">
      <w:start w:val="3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043884"/>
    <w:multiLevelType w:val="hybridMultilevel"/>
    <w:tmpl w:val="A7E46C5C"/>
    <w:lvl w:ilvl="0" w:tplc="FEC43C74">
      <w:start w:val="3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E75"/>
    <w:rsid w:val="000433FA"/>
    <w:rsid w:val="000F69C7"/>
    <w:rsid w:val="000F7A7B"/>
    <w:rsid w:val="00122803"/>
    <w:rsid w:val="00134BEF"/>
    <w:rsid w:val="00154229"/>
    <w:rsid w:val="00190BC5"/>
    <w:rsid w:val="001C682A"/>
    <w:rsid w:val="002E6D76"/>
    <w:rsid w:val="00334328"/>
    <w:rsid w:val="004040C7"/>
    <w:rsid w:val="0041384D"/>
    <w:rsid w:val="00417965"/>
    <w:rsid w:val="00472409"/>
    <w:rsid w:val="004B60DD"/>
    <w:rsid w:val="004D07CF"/>
    <w:rsid w:val="00530E75"/>
    <w:rsid w:val="00584E7A"/>
    <w:rsid w:val="0059394B"/>
    <w:rsid w:val="0059587C"/>
    <w:rsid w:val="00597D16"/>
    <w:rsid w:val="0081559B"/>
    <w:rsid w:val="00857974"/>
    <w:rsid w:val="008A33F5"/>
    <w:rsid w:val="00975E3A"/>
    <w:rsid w:val="00A352DF"/>
    <w:rsid w:val="00A60D0D"/>
    <w:rsid w:val="00A73A33"/>
    <w:rsid w:val="00AB453A"/>
    <w:rsid w:val="00B364E3"/>
    <w:rsid w:val="00C57B52"/>
    <w:rsid w:val="00CC56DB"/>
    <w:rsid w:val="00CF39DE"/>
    <w:rsid w:val="00E576C4"/>
    <w:rsid w:val="00F36A37"/>
    <w:rsid w:val="00F81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0E75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530E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530E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530E75"/>
    <w:pPr>
      <w:ind w:left="720"/>
      <w:contextualSpacing/>
    </w:pPr>
  </w:style>
  <w:style w:type="paragraph" w:customStyle="1" w:styleId="chiaranote">
    <w:name w:val="chiara note"/>
    <w:basedOn w:val="Titolo2"/>
    <w:link w:val="chiaranoteCarattere"/>
    <w:qFormat/>
    <w:rsid w:val="00530E75"/>
    <w:pPr>
      <w:spacing w:before="0" w:after="240"/>
    </w:pPr>
  </w:style>
  <w:style w:type="character" w:customStyle="1" w:styleId="chiaranoteCarattere">
    <w:name w:val="chiara note Carattere"/>
    <w:basedOn w:val="Titolo2Carattere"/>
    <w:link w:val="chiaranote"/>
    <w:rsid w:val="00530E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530E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30E75"/>
  </w:style>
  <w:style w:type="character" w:styleId="Rimandocommento">
    <w:name w:val="annotation reference"/>
    <w:basedOn w:val="Carpredefinitoparagrafo"/>
    <w:uiPriority w:val="99"/>
    <w:semiHidden/>
    <w:unhideWhenUsed/>
    <w:rsid w:val="00530E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30E7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30E75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0E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0E75"/>
    <w:rPr>
      <w:rFonts w:ascii="Segoe UI" w:hAnsi="Segoe UI" w:cs="Segoe UI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7240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7240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0E75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530E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530E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530E75"/>
    <w:pPr>
      <w:ind w:left="720"/>
      <w:contextualSpacing/>
    </w:pPr>
  </w:style>
  <w:style w:type="paragraph" w:customStyle="1" w:styleId="chiaranote">
    <w:name w:val="chiara note"/>
    <w:basedOn w:val="Titolo2"/>
    <w:link w:val="chiaranoteCarattere"/>
    <w:qFormat/>
    <w:rsid w:val="00530E75"/>
    <w:pPr>
      <w:spacing w:before="0" w:after="240"/>
    </w:pPr>
  </w:style>
  <w:style w:type="character" w:customStyle="1" w:styleId="chiaranoteCarattere">
    <w:name w:val="chiara note Carattere"/>
    <w:basedOn w:val="Titolo2Carattere"/>
    <w:link w:val="chiaranote"/>
    <w:rsid w:val="00530E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530E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30E75"/>
  </w:style>
  <w:style w:type="character" w:styleId="Rimandocommento">
    <w:name w:val="annotation reference"/>
    <w:basedOn w:val="Carpredefinitoparagrafo"/>
    <w:uiPriority w:val="99"/>
    <w:semiHidden/>
    <w:unhideWhenUsed/>
    <w:rsid w:val="00530E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30E7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30E75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0E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0E75"/>
    <w:rPr>
      <w:rFonts w:ascii="Segoe UI" w:hAnsi="Segoe UI" w:cs="Segoe UI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7240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7240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1253C3AFC32A04EAC21D2A50B148DD0" ma:contentTypeVersion="10" ma:contentTypeDescription="Creare un nuovo documento." ma:contentTypeScope="" ma:versionID="0cece3b8b251b9a76876b06c2b40603e">
  <xsd:schema xmlns:xsd="http://www.w3.org/2001/XMLSchema" xmlns:xs="http://www.w3.org/2001/XMLSchema" xmlns:p="http://schemas.microsoft.com/office/2006/metadata/properties" xmlns:ns3="cf032d8f-d377-485e-ad05-00387f8fef05" xmlns:ns4="2de66994-a8c1-4b89-90db-18dd677132aa" targetNamespace="http://schemas.microsoft.com/office/2006/metadata/properties" ma:root="true" ma:fieldsID="2a581afd84f2a37e81474d5d51dbbb24" ns3:_="" ns4:_="">
    <xsd:import namespace="cf032d8f-d377-485e-ad05-00387f8fef05"/>
    <xsd:import namespace="2de66994-a8c1-4b89-90db-18dd677132a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32d8f-d377-485e-ad05-00387f8fef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e66994-a8c1-4b89-90db-18dd677132a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BE0E42-F82C-447E-892A-76A40754C0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032d8f-d377-485e-ad05-00387f8fef05"/>
    <ds:schemaRef ds:uri="2de66994-a8c1-4b89-90db-18dd677132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F55509B-89E9-4C13-B34F-163CDC8909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F30885-FB49-45EC-9560-8AF7668D694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72FB735-EC7D-4E42-B483-D5D5DBC18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827</Words>
  <Characters>4717</Characters>
  <Application>Microsoft Office Word</Application>
  <DocSecurity>4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Meloncelli</dc:creator>
  <cp:lastModifiedBy>Federica Celardi</cp:lastModifiedBy>
  <cp:revision>2</cp:revision>
  <dcterms:created xsi:type="dcterms:W3CDTF">2020-01-15T11:10:00Z</dcterms:created>
  <dcterms:modified xsi:type="dcterms:W3CDTF">2020-01-15T11:10:00Z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0x01010021253C3AFC32A04EAC21D2A50B148DD0</vt:lpwstr>
  </property>
</Properties>
</file>